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836D7" w14:textId="77777777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3C7A3DE8" w14:textId="77777777" w:rsidR="00C52BD5" w:rsidRDefault="0071620A" w:rsidP="00C52B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C52BD5">
        <w:rPr>
          <w:rFonts w:ascii="Corbel" w:hAnsi="Corbel"/>
          <w:i/>
          <w:smallCaps/>
          <w:sz w:val="24"/>
          <w:szCs w:val="24"/>
        </w:rPr>
        <w:t>2022-2027</w:t>
      </w:r>
    </w:p>
    <w:p w14:paraId="452C99B1" w14:textId="18597F6D" w:rsidR="0085747A" w:rsidRPr="00572B99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5B10EEFF" w14:textId="25362908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C52BD5">
        <w:rPr>
          <w:rFonts w:ascii="Corbel" w:hAnsi="Corbel"/>
          <w:sz w:val="24"/>
          <w:szCs w:val="24"/>
        </w:rPr>
        <w:t>5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C52BD5">
        <w:rPr>
          <w:rFonts w:ascii="Corbel" w:hAnsi="Corbel"/>
          <w:sz w:val="24"/>
          <w:szCs w:val="24"/>
        </w:rPr>
        <w:t>6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572B99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572B9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D6CE8" w:rsidRPr="00572B99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B99">
              <w:rPr>
                <w:rFonts w:ascii="Corbel" w:hAnsi="Corbel"/>
                <w:szCs w:val="24"/>
              </w:rPr>
              <w:t>Wykł</w:t>
            </w:r>
            <w:proofErr w:type="spellEnd"/>
            <w:r w:rsidRPr="00572B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B99">
              <w:rPr>
                <w:rFonts w:ascii="Corbel" w:hAnsi="Corbel"/>
                <w:szCs w:val="24"/>
              </w:rPr>
              <w:t>Konw</w:t>
            </w:r>
            <w:proofErr w:type="spellEnd"/>
            <w:r w:rsidRPr="00572B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B99">
              <w:rPr>
                <w:rFonts w:ascii="Corbel" w:hAnsi="Corbel"/>
                <w:szCs w:val="24"/>
              </w:rPr>
              <w:t>Sem</w:t>
            </w:r>
            <w:proofErr w:type="spellEnd"/>
            <w:r w:rsidRPr="00572B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B99">
              <w:rPr>
                <w:rFonts w:ascii="Corbel" w:hAnsi="Corbel"/>
                <w:szCs w:val="24"/>
              </w:rPr>
              <w:t>Prakt</w:t>
            </w:r>
            <w:proofErr w:type="spellEnd"/>
            <w:r w:rsidRPr="00572B9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47A8625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1243DC1C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917BA99" w14:textId="044190BA" w:rsidR="001F31B0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BD3B7DD" w14:textId="77777777" w:rsidR="00F50E5E" w:rsidRPr="00572B99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572B99" w14:paraId="0C77F9A3" w14:textId="77777777" w:rsidTr="00B325B6">
        <w:tc>
          <w:tcPr>
            <w:tcW w:w="842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277852">
        <w:tc>
          <w:tcPr>
            <w:tcW w:w="842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8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277852">
        <w:tc>
          <w:tcPr>
            <w:tcW w:w="842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277852">
        <w:tc>
          <w:tcPr>
            <w:tcW w:w="842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A28680" w14:textId="77777777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72B99" w14:paraId="56187657" w14:textId="77777777" w:rsidTr="00112982">
        <w:tc>
          <w:tcPr>
            <w:tcW w:w="1675" w:type="dxa"/>
            <w:vAlign w:val="center"/>
          </w:tcPr>
          <w:p w14:paraId="4A0EB776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C09268C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572B99" w14:paraId="77D51D63" w14:textId="77777777" w:rsidTr="00112982">
        <w:tc>
          <w:tcPr>
            <w:tcW w:w="1675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029324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112982">
        <w:tc>
          <w:tcPr>
            <w:tcW w:w="1675" w:type="dxa"/>
          </w:tcPr>
          <w:p w14:paraId="45D5501B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36F007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FCAA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1B541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764BE6" w14:textId="2F9AD0CD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84AA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A976F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104F0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B36608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5DE8C5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B79952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81AAC4" w14:textId="77777777" w:rsidR="000801AA" w:rsidRPr="00572B99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10217" w14:textId="61491918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639DA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0A9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E92DE1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1C4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2CC324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46DE9F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D7497C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2AFE13" w14:textId="4C5498A4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8620B8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61E263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36B2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0709DD7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metodologię badań naukowych stosowanych w dziedzinach nauk humanistycznych i nauk społecznych, w szczególności zasady projektowania i prowadzenia badań naukowych w zakresie pedagogiki specjalnej, oraz postulat </w:t>
            </w:r>
            <w:proofErr w:type="spellStart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wieloparadygmatyczności</w:t>
            </w:r>
            <w:proofErr w:type="spellEnd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3B640D29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599F63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442FF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572B99">
              <w:rPr>
                <w:rFonts w:ascii="Corbel" w:hAnsi="Corbel"/>
                <w:b w:val="0"/>
                <w:smallCaps w:val="0"/>
                <w:szCs w:val="24"/>
              </w:rPr>
              <w:t>wie,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62CB2D04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8AE060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15CE8843" w14:textId="77777777" w:rsidR="000801AA" w:rsidRPr="00572B99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4E2D76" w14:textId="77777777" w:rsidR="00B1607E" w:rsidRPr="00572B99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6532C768" w14:textId="0814520D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6818BBD1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EA355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08196A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2C3AC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C5743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095C37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6B23A72F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D1A3F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8D331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EE082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BC3B8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457993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55BE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8242CD" w14:textId="77777777" w:rsidR="008801BC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9A7E3" w14:textId="77777777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6FBA7B24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6012FF73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DEC3DB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83A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24328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B34519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ECB0A" w14:textId="5DBA7446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  <w:p w14:paraId="17701B52" w14:textId="77777777" w:rsidR="00112982" w:rsidRPr="00572B99" w:rsidRDefault="00112982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B25AB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0F0A7" w14:textId="77777777" w:rsidR="008801BC" w:rsidRPr="00572B99" w:rsidRDefault="008801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77777777" w:rsidR="00675843" w:rsidRPr="00572B99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572B99" w14:paraId="11B0DF2E" w14:textId="77777777" w:rsidTr="00103AA3">
        <w:tc>
          <w:tcPr>
            <w:tcW w:w="9628" w:type="dxa"/>
          </w:tcPr>
          <w:p w14:paraId="262191A2" w14:textId="77777777" w:rsidR="00103AA3" w:rsidRPr="00572B9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572B99">
              <w:rPr>
                <w:rFonts w:ascii="Corbel" w:hAnsi="Corbel"/>
                <w:sz w:val="24"/>
                <w:szCs w:val="24"/>
              </w:rPr>
              <w:t>WYKŁADU</w:t>
            </w:r>
          </w:p>
          <w:p w14:paraId="70DCBF3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5FA109EE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W2: Strategie badań jakościowych. Pięć strategii (wg </w:t>
            </w:r>
            <w:proofErr w:type="spellStart"/>
            <w:r w:rsidRPr="00572B99">
              <w:rPr>
                <w:rFonts w:ascii="Corbel" w:hAnsi="Corbel"/>
                <w:sz w:val="24"/>
                <w:szCs w:val="24"/>
              </w:rPr>
              <w:t>Creswella</w:t>
            </w:r>
            <w:proofErr w:type="spellEnd"/>
            <w:r w:rsidRPr="00572B99">
              <w:rPr>
                <w:rFonts w:ascii="Corbel" w:hAnsi="Corbel"/>
                <w:sz w:val="24"/>
                <w:szCs w:val="24"/>
              </w:rPr>
              <w:t>): badania narracyjne, fenomenologiczne, teoria ugruntowana, badania etnograficzne, analizy przypadku. Inne strategie (badania fokusowe).</w:t>
            </w:r>
          </w:p>
          <w:p w14:paraId="4006E50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638CF0CB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0FE7EE1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2E563D21" w14:textId="1631BC80" w:rsidR="001F7E2C" w:rsidRPr="00572B99" w:rsidRDefault="00F22870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Treści programów Ćwiczenia</w:t>
            </w:r>
          </w:p>
          <w:p w14:paraId="3D73E817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29B90AD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509F9E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2AC5614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9</w:t>
            </w:r>
            <w:r w:rsidRPr="00572B99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7131770B" w14:textId="77777777" w:rsidR="00103AA3" w:rsidRPr="00572B99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10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: Badania biograficzne osób i postaci historycznych. Wywiad Historii Życia </w:t>
            </w:r>
            <w:proofErr w:type="spellStart"/>
            <w:r w:rsidRPr="00572B99">
              <w:rPr>
                <w:rFonts w:ascii="Corbel" w:hAnsi="Corbel"/>
                <w:sz w:val="24"/>
                <w:szCs w:val="24"/>
              </w:rPr>
              <w:t>McAdamsa</w:t>
            </w:r>
            <w:proofErr w:type="spellEnd"/>
            <w:r w:rsidRPr="00572B99">
              <w:rPr>
                <w:rFonts w:ascii="Corbel" w:hAnsi="Corbel"/>
                <w:sz w:val="24"/>
                <w:szCs w:val="24"/>
              </w:rPr>
              <w:t xml:space="preserve">. Wywiad narracyjny </w:t>
            </w:r>
            <w:proofErr w:type="spellStart"/>
            <w:r w:rsidRPr="00572B99">
              <w:rPr>
                <w:rFonts w:ascii="Corbel" w:hAnsi="Corbel"/>
                <w:sz w:val="24"/>
                <w:szCs w:val="24"/>
              </w:rPr>
              <w:t>Schützego</w:t>
            </w:r>
            <w:proofErr w:type="spellEnd"/>
            <w:r w:rsidRPr="00572B9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96E96B1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77777777" w:rsidR="00F22870" w:rsidRPr="00572B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W</w:t>
      </w:r>
      <w:r w:rsidR="0085747A" w:rsidRPr="00572B99">
        <w:rPr>
          <w:rFonts w:ascii="Corbel" w:hAnsi="Corbel"/>
          <w:b w:val="0"/>
          <w:smallCaps w:val="0"/>
          <w:szCs w:val="24"/>
        </w:rPr>
        <w:t>ykład</w:t>
      </w:r>
      <w:r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572B99" w14:paraId="1AF2D227" w14:textId="77777777" w:rsidTr="000801AA">
        <w:tc>
          <w:tcPr>
            <w:tcW w:w="1962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72B99" w14:paraId="4510C0C8" w14:textId="77777777" w:rsidTr="000801AA">
        <w:tc>
          <w:tcPr>
            <w:tcW w:w="1962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72B9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72B9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0801AA">
        <w:tc>
          <w:tcPr>
            <w:tcW w:w="1962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0801AA">
        <w:tc>
          <w:tcPr>
            <w:tcW w:w="1962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0801AA">
        <w:tc>
          <w:tcPr>
            <w:tcW w:w="1962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30370" w14:textId="77777777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5186087A" w14:textId="77777777" w:rsidTr="00923D7D">
        <w:tc>
          <w:tcPr>
            <w:tcW w:w="9670" w:type="dxa"/>
          </w:tcPr>
          <w:p w14:paraId="18562BD2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BDF85" w14:textId="77777777" w:rsidR="00A43920" w:rsidRPr="00572B99" w:rsidRDefault="008801B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Zajęcia kończą się </w:t>
            </w:r>
            <w:r w:rsidR="00EC6AEC" w:rsidRPr="00572B99">
              <w:rPr>
                <w:rFonts w:ascii="Corbel" w:hAnsi="Corbel"/>
                <w:b w:val="0"/>
                <w:smallCaps w:val="0"/>
                <w:szCs w:val="24"/>
              </w:rPr>
              <w:t>zaliczeniem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5A1ACF0D" w14:textId="77777777" w:rsidR="00EC6AEC" w:rsidRPr="00572B99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Student otrzymuje do przygotowania zestaw 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0 pytań. Z tych pytań zostaje ułożony test składający się z pytań otwartych. 60% pozytywnych odpowiedzi gwarantuje zaliczenie modułu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na poziomie oceny </w:t>
            </w:r>
            <w:proofErr w:type="spellStart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. Ocena </w:t>
            </w:r>
            <w:proofErr w:type="spellStart"/>
            <w:r w:rsidRPr="00572B9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plus 70% dobra 80% dobra plus 85% bardzo dobra 90– 100%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72B99" w14:paraId="3E034FB0" w14:textId="77777777" w:rsidTr="003E1941">
        <w:tc>
          <w:tcPr>
            <w:tcW w:w="4962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923D7D">
        <w:tc>
          <w:tcPr>
            <w:tcW w:w="4962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923D7D">
        <w:tc>
          <w:tcPr>
            <w:tcW w:w="4962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923D7D">
        <w:tc>
          <w:tcPr>
            <w:tcW w:w="4962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72B9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72B9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923D7D">
        <w:tc>
          <w:tcPr>
            <w:tcW w:w="4962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923D7D">
        <w:tc>
          <w:tcPr>
            <w:tcW w:w="4962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CBA3C" w14:textId="77777777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2D5AA6" w14:paraId="29DD3977" w14:textId="77777777" w:rsidTr="00916BB5">
        <w:trPr>
          <w:trHeight w:val="397"/>
        </w:trPr>
        <w:tc>
          <w:tcPr>
            <w:tcW w:w="9497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17C9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Earl. 2008. Podstawy badań społecznych. Warszawa: Wydawnictwo Naukowe PWN, rozdz. 9. Badania sondażowe (s. 274-319), fragment rozdz. 10. Prowadzenie jakościowych badań terenowych (s. 340-355).</w:t>
            </w:r>
          </w:p>
          <w:p w14:paraId="2AC6B7C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Rosaline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2011. Badania fokusowe. Warszawa: Wydawnictwo Naukowe PWN.</w:t>
            </w:r>
          </w:p>
          <w:p w14:paraId="24861DB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Dariusz (red.). 2012. Badania jakościowe. Metody i narzędzia. Tom 1 i 2. Warszawa: Wydawnictwo Naukowe PWN, s. 131-162.</w:t>
            </w:r>
          </w:p>
          <w:p w14:paraId="482F0B6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Hammerslay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, Martin i Paul Atkinson.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4FD5A6B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526A9A91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</w:t>
            </w: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Bogomilski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(red.). Gdańsk: Gdańskie Wydawnictwo Psychologiczne (s. 26-45).</w:t>
            </w:r>
          </w:p>
          <w:p w14:paraId="5EB89AD2" w14:textId="77777777" w:rsidR="0085635D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6B184493" w14:textId="77777777" w:rsidR="00A43920" w:rsidRPr="00572B99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1D0BB6E3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K. (2013). Teoria ugruntowana. Praktyczny przewodnik po analizie jakościowej. Przekł. B. Komorowska. Warszawa: Wydawnictwo Naukowe PWN.</w:t>
            </w:r>
          </w:p>
          <w:p w14:paraId="6573E320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Creswell, J.W. (2007). Qualitative Inquiry and </w:t>
            </w: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Reserach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 Design. Choosing Among Five Approaches. Thousand Oaks, London, New Delhi: SAGE Publications.</w:t>
            </w:r>
          </w:p>
        </w:tc>
      </w:tr>
      <w:tr w:rsidR="0085747A" w:rsidRPr="00572B99" w14:paraId="17C2BB63" w14:textId="77777777" w:rsidTr="00916BB5">
        <w:trPr>
          <w:trHeight w:val="397"/>
        </w:trPr>
        <w:tc>
          <w:tcPr>
            <w:tcW w:w="9497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AED4FF" w14:textId="77777777" w:rsidR="0085635D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Żurko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M. (1995). O przydatności metody biograficznej. W: M. </w:t>
            </w: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Straś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– Romanowska (red.). Na tropach psychologii jako nauki humanistycznej. PWN. Warszawa - Wrocław. Str. 69-78</w:t>
            </w:r>
          </w:p>
          <w:p w14:paraId="6C2E0065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(s. 9- 17).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Kraków: Wydawnictwo Uniwersytetu Jagiellońskiego.</w:t>
            </w:r>
          </w:p>
          <w:p w14:paraId="3BD200A7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Paluchowski, W. J. (2000). Metodologiczne problemy analizy treści a wykorzystanie komputerów w badaniach jakościowych. W: M. </w:t>
            </w: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Straś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– Romanowska (red.). Metody jakościowe w psychologii współczesnej. Wydawnictwo Uniwersytetu Wrocławskiego. Str. 53-64.</w:t>
            </w:r>
          </w:p>
          <w:p w14:paraId="026FD81E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Stemplewska</w:t>
            </w:r>
            <w:proofErr w:type="spellEnd"/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-Żakowicz , K. (2008). Obiektywność i inne metodologiczne cnoty z perspektywy postmodernistycznej. [W:] Janusz B., Gdowska K., de Barbaro B., Narracja. Teoria i praktyka. (s.75-103). Kraków: Wydawnictwo Uniwersytetu</w:t>
            </w:r>
            <w:r w:rsidRPr="00572B9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iCs/>
                <w:color w:val="000000"/>
                <w:sz w:val="24"/>
                <w:szCs w:val="24"/>
              </w:rPr>
              <w:t>Jagiellońskiego.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F1B" w16cex:dateUtc="2020-11-08T19:10:00Z"/>
  <w16cex:commentExtensible w16cex:durableId="2352CD5F" w16cex:dateUtc="2020-11-08T19:02:00Z"/>
  <w16cex:commentExtensible w16cex:durableId="2352D275" w16cex:dateUtc="2020-11-08T19:24:00Z"/>
  <w16cex:commentExtensible w16cex:durableId="2352CD88" w16cex:dateUtc="2020-11-08T1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B5392" w14:textId="77777777" w:rsidR="00595499" w:rsidRDefault="00595499" w:rsidP="00C16ABF">
      <w:pPr>
        <w:spacing w:after="0" w:line="240" w:lineRule="auto"/>
      </w:pPr>
      <w:r>
        <w:separator/>
      </w:r>
    </w:p>
  </w:endnote>
  <w:endnote w:type="continuationSeparator" w:id="0">
    <w:p w14:paraId="0E7DA7C8" w14:textId="77777777" w:rsidR="00595499" w:rsidRDefault="005954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A849B" w14:textId="77777777" w:rsidR="00595499" w:rsidRDefault="00595499" w:rsidP="00C16ABF">
      <w:pPr>
        <w:spacing w:after="0" w:line="240" w:lineRule="auto"/>
      </w:pPr>
      <w:r>
        <w:separator/>
      </w:r>
    </w:p>
  </w:footnote>
  <w:footnote w:type="continuationSeparator" w:id="0">
    <w:p w14:paraId="46E6178F" w14:textId="77777777" w:rsidR="00595499" w:rsidRDefault="0059549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5AA6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A14"/>
    <w:rsid w:val="003D18A9"/>
    <w:rsid w:val="003D6CE2"/>
    <w:rsid w:val="003D6CE8"/>
    <w:rsid w:val="003E1941"/>
    <w:rsid w:val="003E2FE6"/>
    <w:rsid w:val="003E49D5"/>
    <w:rsid w:val="003F205D"/>
    <w:rsid w:val="003F38C0"/>
    <w:rsid w:val="003F678C"/>
    <w:rsid w:val="004075E2"/>
    <w:rsid w:val="004132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32"/>
    <w:rsid w:val="00490F7D"/>
    <w:rsid w:val="00491678"/>
    <w:rsid w:val="004968E2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95499"/>
    <w:rsid w:val="005A0855"/>
    <w:rsid w:val="005A3196"/>
    <w:rsid w:val="005B497C"/>
    <w:rsid w:val="005C080F"/>
    <w:rsid w:val="005C55E5"/>
    <w:rsid w:val="005C677C"/>
    <w:rsid w:val="005C696A"/>
    <w:rsid w:val="005E6E85"/>
    <w:rsid w:val="005E7CCA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45"/>
    <w:rsid w:val="006F1FBC"/>
    <w:rsid w:val="006F31E2"/>
    <w:rsid w:val="006F4DFD"/>
    <w:rsid w:val="00706544"/>
    <w:rsid w:val="007072BA"/>
    <w:rsid w:val="0071377B"/>
    <w:rsid w:val="00713E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2D97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8056E"/>
    <w:rsid w:val="00B819C8"/>
    <w:rsid w:val="00B82308"/>
    <w:rsid w:val="00B90885"/>
    <w:rsid w:val="00BA68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BD5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A1"/>
    <w:rsid w:val="00E51E44"/>
    <w:rsid w:val="00E60CEB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0E5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EDA27DB3-3B80-43EF-AC09-0023F280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4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6C135-C4A5-4FD8-B693-1752FE98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6</cp:revision>
  <cp:lastPrinted>2020-11-09T08:52:00Z</cp:lastPrinted>
  <dcterms:created xsi:type="dcterms:W3CDTF">2021-09-28T11:14:00Z</dcterms:created>
  <dcterms:modified xsi:type="dcterms:W3CDTF">2022-03-14T12:40:00Z</dcterms:modified>
</cp:coreProperties>
</file>